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3E7" w:rsidRPr="002D7C05" w:rsidRDefault="00D303E7">
      <w:pPr>
        <w:rPr>
          <w:rFonts w:ascii="Arial" w:hAnsi="Arial" w:cs="Arial"/>
        </w:rPr>
      </w:pPr>
    </w:p>
    <w:tbl>
      <w:tblPr>
        <w:tblW w:w="9923" w:type="dxa"/>
        <w:tblInd w:w="-497" w:type="dxa"/>
        <w:tblLayout w:type="fixed"/>
        <w:tblCellMar>
          <w:left w:w="70" w:type="dxa"/>
          <w:right w:w="70" w:type="dxa"/>
        </w:tblCellMar>
        <w:tblLook w:val="0000"/>
      </w:tblPr>
      <w:tblGrid>
        <w:gridCol w:w="5670"/>
        <w:gridCol w:w="4253"/>
      </w:tblGrid>
      <w:tr w:rsidR="00D303E7" w:rsidTr="006778AE">
        <w:trPr>
          <w:cantSplit/>
        </w:trPr>
        <w:tc>
          <w:tcPr>
            <w:tcW w:w="5670" w:type="dxa"/>
          </w:tcPr>
          <w:p w:rsidR="00D303E7" w:rsidRDefault="00D303E7" w:rsidP="00321049">
            <w:pPr>
              <w:ind w:right="282"/>
            </w:pPr>
            <w:r w:rsidRPr="00864766">
              <w:rPr>
                <w:b/>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style="width:126pt;height:66pt;visibility:visible">
                  <v:imagedata r:id="rId7" o:title=""/>
                </v:shape>
              </w:pict>
            </w:r>
          </w:p>
        </w:tc>
        <w:tc>
          <w:tcPr>
            <w:tcW w:w="4253" w:type="dxa"/>
          </w:tcPr>
          <w:p w:rsidR="00D303E7" w:rsidRDefault="00D303E7" w:rsidP="00321049">
            <w:pPr>
              <w:ind w:right="282"/>
              <w:jc w:val="right"/>
            </w:pPr>
          </w:p>
        </w:tc>
      </w:tr>
      <w:tr w:rsidR="00D303E7" w:rsidTr="006778AE">
        <w:tblPrEx>
          <w:tblCellMar>
            <w:left w:w="108" w:type="dxa"/>
            <w:right w:w="108" w:type="dxa"/>
          </w:tblCellMar>
        </w:tblPrEx>
        <w:tc>
          <w:tcPr>
            <w:tcW w:w="5670" w:type="dxa"/>
          </w:tcPr>
          <w:p w:rsidR="00D303E7" w:rsidRPr="002D7C05" w:rsidRDefault="00D303E7" w:rsidP="00321049">
            <w:pPr>
              <w:pStyle w:val="Heading4"/>
              <w:ind w:right="-321"/>
              <w:rPr>
                <w:b w:val="0"/>
                <w:color w:val="808080"/>
              </w:rPr>
            </w:pPr>
          </w:p>
          <w:p w:rsidR="00D303E7" w:rsidRPr="00A3369E" w:rsidRDefault="00D303E7" w:rsidP="004D1937">
            <w:pPr>
              <w:pStyle w:val="Heading4"/>
              <w:ind w:right="-321"/>
              <w:rPr>
                <w:color w:val="808080"/>
              </w:rPr>
            </w:pPr>
            <w:r>
              <w:rPr>
                <w:color w:val="808080"/>
              </w:rPr>
              <w:t>SRD/MG</w:t>
            </w:r>
          </w:p>
        </w:tc>
        <w:tc>
          <w:tcPr>
            <w:tcW w:w="4253" w:type="dxa"/>
          </w:tcPr>
          <w:p w:rsidR="00D303E7" w:rsidRPr="002D7C05" w:rsidRDefault="00D303E7" w:rsidP="00321049">
            <w:pPr>
              <w:ind w:right="282"/>
              <w:rPr>
                <w:rFonts w:ascii="Arial" w:hAnsi="Arial" w:cs="Arial"/>
                <w:sz w:val="12"/>
              </w:rPr>
            </w:pPr>
          </w:p>
          <w:p w:rsidR="00D303E7" w:rsidRPr="002D7C05" w:rsidRDefault="00D303E7" w:rsidP="00321049">
            <w:pPr>
              <w:pStyle w:val="Heading4"/>
              <w:ind w:right="-321"/>
              <w:rPr>
                <w:b w:val="0"/>
              </w:rPr>
            </w:pPr>
          </w:p>
        </w:tc>
      </w:tr>
      <w:tr w:rsidR="00D303E7" w:rsidTr="006778AE">
        <w:tblPrEx>
          <w:tblCellMar>
            <w:left w:w="108" w:type="dxa"/>
            <w:right w:w="108" w:type="dxa"/>
          </w:tblCellMar>
        </w:tblPrEx>
        <w:tc>
          <w:tcPr>
            <w:tcW w:w="5670" w:type="dxa"/>
          </w:tcPr>
          <w:p w:rsidR="00D303E7" w:rsidRDefault="00D303E7" w:rsidP="00321049">
            <w:pPr>
              <w:pStyle w:val="Heading4"/>
              <w:ind w:right="-321"/>
            </w:pPr>
          </w:p>
        </w:tc>
        <w:tc>
          <w:tcPr>
            <w:tcW w:w="4253" w:type="dxa"/>
          </w:tcPr>
          <w:p w:rsidR="00D303E7" w:rsidRPr="002D7C05" w:rsidRDefault="00D303E7" w:rsidP="00321049">
            <w:pPr>
              <w:pStyle w:val="Heading4"/>
              <w:ind w:right="-321"/>
              <w:rPr>
                <w:b w:val="0"/>
              </w:rPr>
            </w:pPr>
          </w:p>
        </w:tc>
      </w:tr>
      <w:tr w:rsidR="00D303E7" w:rsidRPr="004C43DC" w:rsidTr="006778AE">
        <w:tblPrEx>
          <w:tblCellMar>
            <w:left w:w="108" w:type="dxa"/>
            <w:right w:w="108" w:type="dxa"/>
          </w:tblCellMar>
        </w:tblPrEx>
        <w:trPr>
          <w:trHeight w:val="377"/>
        </w:trPr>
        <w:tc>
          <w:tcPr>
            <w:tcW w:w="5670" w:type="dxa"/>
          </w:tcPr>
          <w:p w:rsidR="00D303E7" w:rsidRPr="004C43DC" w:rsidRDefault="00D303E7" w:rsidP="002055CD">
            <w:pPr>
              <w:spacing w:before="60"/>
              <w:rPr>
                <w:rFonts w:ascii="Arial" w:hAnsi="Arial" w:cs="Arial"/>
                <w:b/>
                <w:sz w:val="24"/>
                <w:szCs w:val="24"/>
              </w:rPr>
            </w:pPr>
            <w:r>
              <w:rPr>
                <w:rFonts w:ascii="Arial" w:hAnsi="Arial" w:cs="Arial"/>
                <w:b/>
                <w:sz w:val="24"/>
                <w:szCs w:val="24"/>
              </w:rPr>
              <w:t>53</w:t>
            </w:r>
            <w:r w:rsidRPr="004D1937">
              <w:rPr>
                <w:rFonts w:ascii="Arial" w:hAnsi="Arial" w:cs="Arial"/>
                <w:b/>
                <w:sz w:val="24"/>
                <w:szCs w:val="24"/>
                <w:vertAlign w:val="superscript"/>
              </w:rPr>
              <w:t>rd</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Meeting of SRD/MG</w:t>
            </w:r>
          </w:p>
          <w:p w:rsidR="00D303E7" w:rsidRPr="004C43DC" w:rsidRDefault="00D303E7" w:rsidP="004D1937">
            <w:pPr>
              <w:spacing w:before="60"/>
              <w:rPr>
                <w:rFonts w:ascii="Arial" w:hAnsi="Arial" w:cs="Arial"/>
                <w:b/>
                <w:sz w:val="24"/>
                <w:szCs w:val="24"/>
              </w:rPr>
            </w:pPr>
            <w:r>
              <w:rPr>
                <w:rFonts w:ascii="Arial" w:hAnsi="Arial"/>
                <w:b/>
                <w:sz w:val="24"/>
              </w:rPr>
              <w:t>Biel/Switzerland</w:t>
            </w:r>
            <w:r w:rsidRPr="00A73F12">
              <w:rPr>
                <w:rFonts w:ascii="Arial" w:hAnsi="Arial"/>
                <w:b/>
                <w:sz w:val="24"/>
              </w:rPr>
              <w:t xml:space="preserve">, </w:t>
            </w:r>
            <w:r>
              <w:rPr>
                <w:rFonts w:ascii="Arial" w:hAnsi="Arial"/>
                <w:b/>
                <w:sz w:val="24"/>
              </w:rPr>
              <w:t>07 – 09 September 2011</w:t>
            </w:r>
          </w:p>
        </w:tc>
        <w:tc>
          <w:tcPr>
            <w:tcW w:w="4253" w:type="dxa"/>
          </w:tcPr>
          <w:p w:rsidR="00D303E7" w:rsidRPr="002D7C05" w:rsidRDefault="00D303E7" w:rsidP="002055CD">
            <w:pPr>
              <w:spacing w:before="60"/>
              <w:rPr>
                <w:rFonts w:ascii="Arial" w:hAnsi="Arial" w:cs="Arial"/>
                <w:sz w:val="24"/>
                <w:szCs w:val="24"/>
              </w:rPr>
            </w:pPr>
          </w:p>
          <w:p w:rsidR="00D303E7" w:rsidRPr="004C43DC" w:rsidRDefault="00D303E7" w:rsidP="004D1937">
            <w:pPr>
              <w:spacing w:before="60"/>
              <w:jc w:val="right"/>
              <w:rPr>
                <w:sz w:val="24"/>
                <w:szCs w:val="24"/>
              </w:rPr>
            </w:pPr>
            <w:r>
              <w:rPr>
                <w:rFonts w:ascii="Arial" w:hAnsi="Arial" w:cs="Arial"/>
                <w:b/>
                <w:sz w:val="24"/>
                <w:szCs w:val="24"/>
              </w:rPr>
              <w:t>SRDMG(11)086</w:t>
            </w:r>
          </w:p>
        </w:tc>
      </w:tr>
      <w:tr w:rsidR="00D303E7" w:rsidTr="006778AE">
        <w:tblPrEx>
          <w:tblCellMar>
            <w:left w:w="108" w:type="dxa"/>
            <w:right w:w="108" w:type="dxa"/>
          </w:tblCellMar>
        </w:tblPrEx>
        <w:tc>
          <w:tcPr>
            <w:tcW w:w="9923" w:type="dxa"/>
            <w:gridSpan w:val="2"/>
          </w:tcPr>
          <w:p w:rsidR="00D303E7" w:rsidRPr="002D7C05" w:rsidRDefault="00D303E7" w:rsidP="00321049">
            <w:pPr>
              <w:pStyle w:val="Heading4"/>
              <w:tabs>
                <w:tab w:val="left" w:pos="8789"/>
              </w:tabs>
              <w:rPr>
                <w:rFonts w:cs="Arial"/>
                <w:b w:val="0"/>
                <w:szCs w:val="24"/>
              </w:rPr>
            </w:pPr>
          </w:p>
          <w:p w:rsidR="00D303E7" w:rsidRDefault="00D303E7" w:rsidP="00321049">
            <w:pPr>
              <w:rPr>
                <w:rFonts w:ascii="Arial" w:hAnsi="Arial" w:cs="Arial"/>
                <w:b/>
                <w:sz w:val="24"/>
                <w:szCs w:val="24"/>
              </w:rPr>
            </w:pPr>
            <w:r>
              <w:rPr>
                <w:rFonts w:ascii="Arial" w:hAnsi="Arial" w:cs="Arial"/>
                <w:b/>
                <w:sz w:val="24"/>
                <w:szCs w:val="24"/>
              </w:rPr>
              <w:t>Date issued:</w:t>
            </w:r>
            <w:r>
              <w:rPr>
                <w:rFonts w:ascii="Arial" w:hAnsi="Arial" w:cs="Arial"/>
                <w:b/>
                <w:sz w:val="24"/>
                <w:szCs w:val="24"/>
              </w:rPr>
              <w:tab/>
            </w:r>
            <w:r>
              <w:rPr>
                <w:rFonts w:ascii="Arial" w:hAnsi="Arial" w:cs="Arial"/>
                <w:b/>
                <w:sz w:val="24"/>
                <w:szCs w:val="24"/>
              </w:rPr>
              <w:tab/>
              <w:t>26 August 2011</w:t>
            </w:r>
          </w:p>
          <w:p w:rsidR="00D303E7" w:rsidRPr="002D7C05" w:rsidRDefault="00D303E7" w:rsidP="00321049">
            <w:pPr>
              <w:rPr>
                <w:rFonts w:ascii="Arial" w:hAnsi="Arial" w:cs="Arial"/>
                <w:sz w:val="24"/>
                <w:szCs w:val="24"/>
              </w:rPr>
            </w:pPr>
          </w:p>
          <w:p w:rsidR="00D303E7" w:rsidRDefault="00D303E7" w:rsidP="00321049">
            <w:pPr>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t>Germany</w:t>
            </w:r>
          </w:p>
          <w:p w:rsidR="00D303E7" w:rsidRPr="002D7C05" w:rsidRDefault="00D303E7" w:rsidP="00321049">
            <w:pPr>
              <w:rPr>
                <w:rFonts w:ascii="Arial" w:hAnsi="Arial" w:cs="Arial"/>
                <w:sz w:val="24"/>
                <w:szCs w:val="24"/>
              </w:rPr>
            </w:pPr>
          </w:p>
          <w:p w:rsidR="00D303E7" w:rsidRPr="00713C99" w:rsidRDefault="00D303E7" w:rsidP="00713C99">
            <w:pPr>
              <w:rPr>
                <w:rFonts w:ascii="Arial" w:hAnsi="Arial" w:cs="Arial"/>
                <w:b/>
                <w:sz w:val="24"/>
                <w:szCs w:val="24"/>
              </w:rPr>
            </w:pPr>
            <w:r w:rsidRPr="00713C99">
              <w:rPr>
                <w:rFonts w:ascii="Arial" w:hAnsi="Arial" w:cs="Arial"/>
                <w:b/>
                <w:sz w:val="24"/>
                <w:szCs w:val="24"/>
              </w:rPr>
              <w:t>Subject:</w:t>
            </w:r>
            <w:r w:rsidRPr="00713C99">
              <w:rPr>
                <w:rFonts w:ascii="Arial" w:hAnsi="Arial" w:cs="Arial"/>
                <w:b/>
                <w:sz w:val="24"/>
                <w:szCs w:val="24"/>
              </w:rPr>
              <w:tab/>
            </w:r>
            <w:r w:rsidRPr="00713C99">
              <w:rPr>
                <w:rFonts w:ascii="Arial" w:hAnsi="Arial" w:cs="Arial"/>
                <w:b/>
                <w:sz w:val="24"/>
                <w:szCs w:val="24"/>
              </w:rPr>
              <w:tab/>
            </w:r>
            <w:r>
              <w:rPr>
                <w:rFonts w:ascii="Arial" w:hAnsi="Arial" w:cs="Arial"/>
                <w:b/>
                <w:sz w:val="24"/>
                <w:szCs w:val="24"/>
              </w:rPr>
              <w:t>SRR regulation at 24 GHz</w:t>
            </w:r>
            <w:r w:rsidRPr="00713C99">
              <w:rPr>
                <w:rFonts w:ascii="Arial" w:hAnsi="Arial" w:cs="Arial"/>
                <w:b/>
                <w:sz w:val="24"/>
                <w:szCs w:val="24"/>
              </w:rPr>
              <w:t>;</w:t>
            </w:r>
          </w:p>
          <w:p w:rsidR="00D303E7" w:rsidRPr="00713C99" w:rsidRDefault="00D303E7" w:rsidP="006056C6">
            <w:pPr>
              <w:ind w:left="2160"/>
              <w:rPr>
                <w:rFonts w:ascii="Arial" w:hAnsi="Arial" w:cs="Arial"/>
                <w:b/>
                <w:sz w:val="24"/>
                <w:szCs w:val="24"/>
              </w:rPr>
            </w:pPr>
            <w:r>
              <w:rPr>
                <w:rFonts w:ascii="Arial" w:hAnsi="Arial" w:cs="Arial"/>
                <w:b/>
                <w:sz w:val="24"/>
                <w:szCs w:val="24"/>
              </w:rPr>
              <w:t>Proposed revision of ECC Decision (04)10 (alignment with amended EU regulation)</w:t>
            </w:r>
          </w:p>
          <w:p w:rsidR="00D303E7" w:rsidRDefault="00D303E7" w:rsidP="00321049">
            <w:pPr>
              <w:pStyle w:val="Header"/>
              <w:rPr>
                <w:rFonts w:ascii="Arial" w:hAnsi="Arial" w:cs="Arial"/>
                <w:b/>
                <w:sz w:val="24"/>
                <w:szCs w:val="24"/>
              </w:rPr>
            </w:pPr>
          </w:p>
        </w:tc>
      </w:tr>
    </w:tbl>
    <w:p w:rsidR="00D303E7" w:rsidRDefault="00D303E7">
      <w:r>
        <w:rPr>
          <w:noProof/>
          <w:lang w:val="en-US" w:eastAsia="en-US"/>
        </w:rPr>
        <w:pict>
          <v:shapetype id="_x0000_t202" coordsize="21600,21600" o:spt="202" path="m,l,21600r21600,l21600,xe">
            <v:stroke joinstyle="miter"/>
            <v:path gradientshapeok="t" o:connecttype="rect"/>
          </v:shapetype>
          <v:shape id="Text Box 5" o:spid="_x0000_s1026" type="#_x0000_t202" style="position:absolute;margin-left:152.05pt;margin-top:9.7pt;width:36pt;height:17.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">
            <v:textbox>
              <w:txbxContent>
                <w:p w:rsidR="00D303E7" w:rsidRPr="002D7C05" w:rsidRDefault="00D303E7">
                  <w:pPr>
                    <w:jc w:val="center"/>
                    <w:rPr>
                      <w:rFonts w:ascii="Arial" w:hAnsi="Arial" w:cs="Arial"/>
                      <w:lang w:val="en-IE"/>
                    </w:rPr>
                  </w:pPr>
                  <w:r w:rsidRPr="002D7C05">
                    <w:rPr>
                      <w:rFonts w:ascii="Arial" w:hAnsi="Arial" w:cs="Arial"/>
                      <w:lang w:val="en-IE"/>
                    </w:rPr>
                    <w:t>N</w:t>
                  </w:r>
                </w:p>
              </w:txbxContent>
            </v:textbox>
          </v:shape>
        </w:pict>
      </w:r>
    </w:p>
    <w:p w:rsidR="00D303E7" w:rsidRPr="002D7C05" w:rsidRDefault="00D303E7" w:rsidP="00AE264C">
      <w:pPr>
        <w:ind w:right="-852" w:hanging="540"/>
        <w:rPr>
          <w:rFonts w:ascii="Arial" w:hAnsi="Arial" w:cs="Arial"/>
        </w:rPr>
      </w:pPr>
      <w:r w:rsidRPr="002D7C05">
        <w:rPr>
          <w:rFonts w:ascii="Arial" w:hAnsi="Arial" w:cs="Arial"/>
        </w:rPr>
        <w:t>Passw</w:t>
      </w:r>
      <w:r>
        <w:rPr>
          <w:rFonts w:ascii="Arial" w:hAnsi="Arial" w:cs="Arial"/>
        </w:rPr>
        <w:t>ord protection required? (Y/N)</w:t>
      </w:r>
      <w:r>
        <w:rPr>
          <w:rStyle w:val="FootnoteReference"/>
          <w:rFonts w:ascii="Arial" w:hAnsi="Arial" w:cs="Arial"/>
        </w:rPr>
        <w:footnoteReference w:id="1"/>
      </w:r>
    </w:p>
    <w:p w:rsidR="00D303E7" w:rsidRDefault="00D303E7" w:rsidP="00AE264C">
      <w:pPr>
        <w:ind w:right="-852"/>
        <w:jc w:val="right"/>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3"/>
      </w:tblGrid>
      <w:tr w:rsidR="00D303E7" w:rsidTr="00321049">
        <w:tc>
          <w:tcPr>
            <w:tcW w:w="9923" w:type="dxa"/>
          </w:tcPr>
          <w:p w:rsidR="00D303E7" w:rsidRPr="002B6D12" w:rsidRDefault="00D303E7" w:rsidP="00321049">
            <w:pPr>
              <w:rPr>
                <w:rFonts w:ascii="Arial" w:hAnsi="Arial" w:cs="Arial"/>
              </w:rPr>
            </w:pPr>
          </w:p>
          <w:p w:rsidR="00D303E7" w:rsidRDefault="00D303E7" w:rsidP="00321049">
            <w:pPr>
              <w:pStyle w:val="Heading3"/>
              <w:jc w:val="left"/>
              <w:rPr>
                <w:rFonts w:cs="Arial"/>
              </w:rPr>
            </w:pPr>
            <w:r w:rsidRPr="00CB3476">
              <w:rPr>
                <w:rFonts w:cs="Arial"/>
              </w:rPr>
              <w:t>Summary</w:t>
            </w:r>
          </w:p>
          <w:p w:rsidR="00D303E7" w:rsidRPr="002B6D12" w:rsidRDefault="00D303E7" w:rsidP="002D7C05">
            <w:pPr>
              <w:rPr>
                <w:rFonts w:ascii="Arial" w:hAnsi="Arial" w:cs="Arial"/>
                <w:sz w:val="22"/>
                <w:szCs w:val="22"/>
              </w:rPr>
            </w:pPr>
          </w:p>
          <w:p w:rsidR="00D303E7" w:rsidRDefault="00D303E7" w:rsidP="008F0D75">
            <w:pPr>
              <w:rPr>
                <w:rFonts w:ascii="Arial" w:hAnsi="Arial" w:cs="Arial"/>
                <w:sz w:val="22"/>
                <w:szCs w:val="22"/>
              </w:rPr>
            </w:pPr>
            <w:r>
              <w:rPr>
                <w:rFonts w:ascii="Arial" w:hAnsi="Arial" w:cs="Arial"/>
                <w:sz w:val="22"/>
                <w:szCs w:val="22"/>
              </w:rPr>
              <w:t>The Radio Spectrum Committee (RSC) of the European Commission adopted a new draft Decision on the amendment of EC Decision 2005/50/EC on short range radar equipment at 24 GHz in July 2011. The final version of the Implementing Decision, 2011/485/EU, 29 July 2011, was published in the Official Journal of the European Union on 30 July 2011 (OJ L 198, page 71). Hence the regulatory framework as described in the current version of ECC Decision (04)10 is no longer in line with the relevant regulation on EU level. Substantial deviations between the EU regulation and the CEPT regulation should be avoided because of the mandatory nature of EC Decisions. Therefore Germany proposes to align the ECC Decision (04)10 as early as possible with the amended EC Decision.</w:t>
            </w:r>
          </w:p>
          <w:p w:rsidR="00D303E7" w:rsidRDefault="00D303E7" w:rsidP="008F0D75">
            <w:pPr>
              <w:rPr>
                <w:rFonts w:ascii="Arial" w:hAnsi="Arial" w:cs="Arial"/>
                <w:sz w:val="22"/>
                <w:szCs w:val="22"/>
              </w:rPr>
            </w:pPr>
          </w:p>
          <w:p w:rsidR="00D303E7" w:rsidRDefault="00D303E7" w:rsidP="008F0D75">
            <w:pPr>
              <w:rPr>
                <w:rFonts w:ascii="Arial" w:hAnsi="Arial" w:cs="Arial"/>
                <w:sz w:val="22"/>
                <w:szCs w:val="22"/>
              </w:rPr>
            </w:pPr>
            <w:r>
              <w:rPr>
                <w:rFonts w:ascii="Arial" w:hAnsi="Arial" w:cs="Arial"/>
                <w:sz w:val="22"/>
                <w:szCs w:val="22"/>
              </w:rPr>
              <w:t>This proposal is in line with the approach as agreed during the ECC#29 meeting (20 - 24 June 2011) in Split/Croatia, see section 8.4 of the meeting Report: “</w:t>
            </w:r>
            <w:r w:rsidRPr="00970B11">
              <w:rPr>
                <w:rFonts w:ascii="Arial" w:hAnsi="Arial" w:cs="Arial"/>
                <w:i/>
                <w:sz w:val="22"/>
                <w:szCs w:val="22"/>
              </w:rPr>
              <w:t>The ECC decided that WG FM should revise ECC/DEC/(04)10 on SRR at 24 GHz, by taking into account the LS provided (...) to ETSI.</w:t>
            </w:r>
            <w:r>
              <w:rPr>
                <w:rFonts w:ascii="Arial" w:hAnsi="Arial" w:cs="Arial"/>
                <w:sz w:val="22"/>
                <w:szCs w:val="22"/>
              </w:rPr>
              <w:t>” Therefore there is no need for SRD/MG to consider the possible options first as originally planned by WG FM.</w:t>
            </w:r>
          </w:p>
          <w:p w:rsidR="00D303E7" w:rsidRDefault="00D303E7" w:rsidP="008F0D75">
            <w:pPr>
              <w:rPr>
                <w:rFonts w:ascii="Arial" w:hAnsi="Arial" w:cs="Arial"/>
                <w:sz w:val="22"/>
                <w:szCs w:val="22"/>
              </w:rPr>
            </w:pPr>
          </w:p>
          <w:p w:rsidR="00D303E7" w:rsidRDefault="00D303E7" w:rsidP="008F0D75">
            <w:pPr>
              <w:rPr>
                <w:rFonts w:ascii="Arial" w:hAnsi="Arial" w:cs="Arial"/>
                <w:sz w:val="22"/>
                <w:szCs w:val="22"/>
              </w:rPr>
            </w:pPr>
            <w:r>
              <w:rPr>
                <w:rFonts w:ascii="Arial" w:hAnsi="Arial" w:cs="Arial"/>
                <w:sz w:val="22"/>
                <w:szCs w:val="22"/>
              </w:rPr>
              <w:t>The liaison statement from ECC to ETSI TC ERM is provided in Annex 3.</w:t>
            </w:r>
          </w:p>
          <w:p w:rsidR="00D303E7" w:rsidRDefault="00D303E7" w:rsidP="008F0D75">
            <w:pPr>
              <w:rPr>
                <w:rFonts w:ascii="Arial" w:hAnsi="Arial" w:cs="Arial"/>
                <w:sz w:val="22"/>
                <w:szCs w:val="22"/>
              </w:rPr>
            </w:pPr>
          </w:p>
          <w:p w:rsidR="00D303E7" w:rsidRPr="002B6D12" w:rsidRDefault="00D303E7" w:rsidP="008F0D75">
            <w:pPr>
              <w:rPr>
                <w:rFonts w:ascii="Arial" w:hAnsi="Arial" w:cs="Arial"/>
                <w:sz w:val="22"/>
                <w:szCs w:val="22"/>
              </w:rPr>
            </w:pPr>
            <w:r>
              <w:rPr>
                <w:rFonts w:ascii="Arial" w:hAnsi="Arial" w:cs="Arial"/>
                <w:sz w:val="22"/>
                <w:szCs w:val="22"/>
              </w:rPr>
              <w:t>It should be taken into account that WG FM, after the meeting in October 2011 in Lille, will not meet again before April 2012 because of the WRC-12. Therefore a delay of the adoption of the revised version of ECC/DEC/(04)10 for public consultation (proposed for October 2011) should be avoided.</w:t>
            </w:r>
          </w:p>
          <w:p w:rsidR="00D303E7" w:rsidRPr="00CB3476" w:rsidRDefault="00D303E7" w:rsidP="00321049">
            <w:pPr>
              <w:autoSpaceDE w:val="0"/>
              <w:autoSpaceDN w:val="0"/>
              <w:adjustRightInd w:val="0"/>
              <w:rPr>
                <w:rFonts w:ascii="Arial" w:hAnsi="Arial" w:cs="Arial"/>
              </w:rPr>
            </w:pPr>
          </w:p>
        </w:tc>
      </w:tr>
      <w:tr w:rsidR="00D303E7" w:rsidTr="00321049">
        <w:tc>
          <w:tcPr>
            <w:tcW w:w="9923" w:type="dxa"/>
          </w:tcPr>
          <w:p w:rsidR="00D303E7" w:rsidRPr="002B6D12" w:rsidRDefault="00D303E7" w:rsidP="000F1530">
            <w:pPr>
              <w:pStyle w:val="Heading3"/>
              <w:jc w:val="left"/>
              <w:rPr>
                <w:rFonts w:cs="Arial"/>
                <w:b w:val="0"/>
                <w:sz w:val="20"/>
              </w:rPr>
            </w:pPr>
          </w:p>
          <w:p w:rsidR="00D303E7" w:rsidRDefault="00D303E7" w:rsidP="00321049">
            <w:pPr>
              <w:pStyle w:val="Heading3"/>
              <w:jc w:val="left"/>
              <w:rPr>
                <w:rFonts w:cs="Arial"/>
              </w:rPr>
            </w:pPr>
            <w:r w:rsidRPr="00CB3476">
              <w:rPr>
                <w:rFonts w:cs="Arial"/>
              </w:rPr>
              <w:t>Proposal</w:t>
            </w:r>
          </w:p>
          <w:p w:rsidR="00D303E7" w:rsidRDefault="00D303E7" w:rsidP="002D7C05">
            <w:pPr>
              <w:rPr>
                <w:rFonts w:ascii="Arial" w:hAnsi="Arial" w:cs="Arial"/>
                <w:sz w:val="22"/>
                <w:szCs w:val="22"/>
              </w:rPr>
            </w:pPr>
          </w:p>
          <w:p w:rsidR="00D303E7" w:rsidRDefault="00D303E7" w:rsidP="0068698B">
            <w:pPr>
              <w:rPr>
                <w:rFonts w:ascii="Arial" w:hAnsi="Arial" w:cs="Arial"/>
                <w:sz w:val="22"/>
                <w:szCs w:val="22"/>
              </w:rPr>
            </w:pPr>
            <w:r>
              <w:rPr>
                <w:rFonts w:ascii="Arial" w:hAnsi="Arial" w:cs="Arial"/>
                <w:sz w:val="22"/>
                <w:szCs w:val="22"/>
              </w:rPr>
              <w:t>Germany kindly invites the SRD/MG:</w:t>
            </w:r>
          </w:p>
          <w:p w:rsidR="00D303E7" w:rsidRDefault="00D303E7" w:rsidP="0068698B">
            <w:pPr>
              <w:rPr>
                <w:rFonts w:ascii="Arial" w:hAnsi="Arial" w:cs="Arial"/>
                <w:sz w:val="22"/>
                <w:szCs w:val="22"/>
              </w:rPr>
            </w:pPr>
          </w:p>
          <w:p w:rsidR="00D303E7" w:rsidRDefault="00D303E7" w:rsidP="005A1968">
            <w:pPr>
              <w:pStyle w:val="ListParagraph"/>
              <w:numPr>
                <w:ilvl w:val="0"/>
                <w:numId w:val="5"/>
              </w:numPr>
              <w:rPr>
                <w:rFonts w:ascii="Arial" w:hAnsi="Arial" w:cs="Arial"/>
                <w:b/>
                <w:sz w:val="22"/>
                <w:szCs w:val="22"/>
              </w:rPr>
            </w:pPr>
            <w:r>
              <w:rPr>
                <w:rFonts w:ascii="Arial" w:hAnsi="Arial" w:cs="Arial"/>
                <w:b/>
                <w:sz w:val="22"/>
                <w:szCs w:val="22"/>
              </w:rPr>
              <w:t>T</w:t>
            </w:r>
            <w:r w:rsidRPr="00BD5B81">
              <w:rPr>
                <w:rFonts w:ascii="Arial" w:hAnsi="Arial" w:cs="Arial"/>
                <w:b/>
                <w:sz w:val="22"/>
                <w:szCs w:val="22"/>
              </w:rPr>
              <w:t>o consider the proposed draft amended ECC Decision (04)10 as provided in Annex</w:t>
            </w:r>
            <w:r>
              <w:rPr>
                <w:rFonts w:ascii="Arial" w:hAnsi="Arial" w:cs="Arial"/>
                <w:b/>
                <w:sz w:val="22"/>
                <w:szCs w:val="22"/>
              </w:rPr>
              <w:t xml:space="preserve"> 1, also </w:t>
            </w:r>
            <w:r w:rsidRPr="00BD5B81">
              <w:rPr>
                <w:rFonts w:ascii="Arial" w:hAnsi="Arial" w:cs="Arial"/>
                <w:b/>
                <w:sz w:val="22"/>
                <w:szCs w:val="22"/>
              </w:rPr>
              <w:t xml:space="preserve">by taking into account the conclusions of the </w:t>
            </w:r>
            <w:r>
              <w:rPr>
                <w:rFonts w:ascii="Arial" w:hAnsi="Arial" w:cs="Arial"/>
                <w:b/>
                <w:sz w:val="22"/>
                <w:szCs w:val="22"/>
              </w:rPr>
              <w:t xml:space="preserve">latest </w:t>
            </w:r>
            <w:r w:rsidRPr="00BD5B81">
              <w:rPr>
                <w:rFonts w:ascii="Arial" w:hAnsi="Arial" w:cs="Arial"/>
                <w:b/>
                <w:sz w:val="22"/>
                <w:szCs w:val="22"/>
              </w:rPr>
              <w:t>ECC plenary meeting</w:t>
            </w:r>
            <w:r>
              <w:rPr>
                <w:rFonts w:ascii="Arial" w:hAnsi="Arial" w:cs="Arial"/>
                <w:b/>
                <w:sz w:val="22"/>
                <w:szCs w:val="22"/>
              </w:rPr>
              <w:t xml:space="preserve"> (</w:t>
            </w:r>
            <w:r w:rsidRPr="00BD5B81">
              <w:rPr>
                <w:rFonts w:ascii="Arial" w:hAnsi="Arial" w:cs="Arial"/>
                <w:b/>
                <w:sz w:val="22"/>
                <w:szCs w:val="22"/>
              </w:rPr>
              <w:t>20-24 June 2011);</w:t>
            </w:r>
            <w:r>
              <w:rPr>
                <w:rFonts w:ascii="Arial" w:hAnsi="Arial" w:cs="Arial"/>
                <w:b/>
                <w:sz w:val="22"/>
                <w:szCs w:val="22"/>
              </w:rPr>
              <w:br/>
            </w:r>
          </w:p>
          <w:p w:rsidR="00D303E7" w:rsidRPr="003B7396" w:rsidRDefault="00D303E7" w:rsidP="0068698B">
            <w:pPr>
              <w:pStyle w:val="ListParagraph"/>
              <w:numPr>
                <w:ilvl w:val="0"/>
                <w:numId w:val="5"/>
              </w:numPr>
              <w:rPr>
                <w:rFonts w:ascii="Arial" w:hAnsi="Arial" w:cs="Arial"/>
                <w:b/>
                <w:sz w:val="22"/>
                <w:szCs w:val="22"/>
              </w:rPr>
            </w:pPr>
            <w:r w:rsidRPr="003B7396">
              <w:rPr>
                <w:rFonts w:ascii="Arial" w:hAnsi="Arial" w:cs="Arial"/>
                <w:b/>
                <w:sz w:val="22"/>
                <w:szCs w:val="22"/>
              </w:rPr>
              <w:t>To limit</w:t>
            </w:r>
            <w:r>
              <w:rPr>
                <w:rFonts w:ascii="Arial" w:hAnsi="Arial" w:cs="Arial"/>
                <w:b/>
                <w:sz w:val="22"/>
                <w:szCs w:val="22"/>
              </w:rPr>
              <w:t xml:space="preserve"> the amendments of the ECC Decision to the alignment with the changes coming from the new EC Decision 2011/485/EU (see Annex 2) and from the latest ECC meeting and to those parts which need to be updated; hence there is no need to discuss the essential elements of the regulatory framework again;</w:t>
            </w:r>
            <w:r>
              <w:rPr>
                <w:rFonts w:ascii="Arial" w:hAnsi="Arial" w:cs="Arial"/>
                <w:b/>
                <w:sz w:val="22"/>
                <w:szCs w:val="22"/>
              </w:rPr>
              <w:br/>
            </w:r>
          </w:p>
          <w:p w:rsidR="00D303E7" w:rsidRDefault="00D303E7" w:rsidP="005A1968">
            <w:pPr>
              <w:pStyle w:val="ListParagraph"/>
              <w:numPr>
                <w:ilvl w:val="0"/>
                <w:numId w:val="5"/>
              </w:numPr>
              <w:rPr>
                <w:rFonts w:ascii="Arial" w:hAnsi="Arial" w:cs="Arial"/>
                <w:b/>
                <w:sz w:val="22"/>
                <w:szCs w:val="22"/>
              </w:rPr>
            </w:pPr>
            <w:r>
              <w:rPr>
                <w:rFonts w:ascii="Arial" w:hAnsi="Arial" w:cs="Arial"/>
                <w:b/>
                <w:sz w:val="22"/>
                <w:szCs w:val="22"/>
              </w:rPr>
              <w:t>T</w:t>
            </w:r>
            <w:r w:rsidRPr="00BD5B81">
              <w:rPr>
                <w:rFonts w:ascii="Arial" w:hAnsi="Arial" w:cs="Arial"/>
                <w:b/>
                <w:sz w:val="22"/>
                <w:szCs w:val="22"/>
              </w:rPr>
              <w:t>o propose an amended version of ECC Decision (04)10 to WG FM (meeting in October 2011 in Lille/France) for adoption for public consultation.</w:t>
            </w:r>
          </w:p>
          <w:p w:rsidR="00D303E7" w:rsidRDefault="00D303E7" w:rsidP="00970B11">
            <w:pPr>
              <w:rPr>
                <w:rFonts w:ascii="Arial" w:hAnsi="Arial" w:cs="Arial"/>
                <w:sz w:val="22"/>
                <w:szCs w:val="22"/>
              </w:rPr>
            </w:pPr>
          </w:p>
          <w:p w:rsidR="00D303E7" w:rsidRPr="00CB3476" w:rsidRDefault="00D303E7" w:rsidP="003B7396">
            <w:pPr>
              <w:rPr>
                <w:rFonts w:ascii="Arial" w:hAnsi="Arial" w:cs="Arial"/>
              </w:rPr>
            </w:pPr>
          </w:p>
        </w:tc>
      </w:tr>
      <w:tr w:rsidR="00D303E7" w:rsidTr="00321049">
        <w:tc>
          <w:tcPr>
            <w:tcW w:w="9923" w:type="dxa"/>
          </w:tcPr>
          <w:p w:rsidR="00D303E7" w:rsidRPr="00CB3476" w:rsidRDefault="00D303E7" w:rsidP="00321049">
            <w:pPr>
              <w:rPr>
                <w:rFonts w:ascii="Arial" w:hAnsi="Arial" w:cs="Arial"/>
              </w:rPr>
            </w:pPr>
          </w:p>
          <w:p w:rsidR="00D303E7" w:rsidRDefault="00D303E7" w:rsidP="00321049">
            <w:pPr>
              <w:pStyle w:val="Heading3"/>
              <w:jc w:val="left"/>
            </w:pPr>
            <w:r w:rsidRPr="00CB3476">
              <w:t>Background</w:t>
            </w:r>
          </w:p>
          <w:p w:rsidR="00D303E7" w:rsidRDefault="00D303E7" w:rsidP="002D7C05">
            <w:pPr>
              <w:rPr>
                <w:rFonts w:ascii="Arial" w:hAnsi="Arial" w:cs="Arial"/>
                <w:sz w:val="22"/>
                <w:szCs w:val="22"/>
              </w:rPr>
            </w:pPr>
          </w:p>
          <w:p w:rsidR="00D303E7" w:rsidRDefault="00D303E7" w:rsidP="008F0D75">
            <w:pPr>
              <w:rPr>
                <w:rFonts w:ascii="Arial" w:hAnsi="Arial" w:cs="Arial"/>
                <w:sz w:val="22"/>
                <w:szCs w:val="22"/>
              </w:rPr>
            </w:pPr>
            <w:r>
              <w:rPr>
                <w:rFonts w:ascii="Arial" w:hAnsi="Arial" w:cs="Arial"/>
                <w:sz w:val="22"/>
                <w:szCs w:val="22"/>
              </w:rPr>
              <w:t>The European Commission adopted a new Implementing Decision on the amendment of EC Decision 2005/50/EC by taking into account CEPT Reports 36 and 37 (CEPT response to parts 1 and 2 of the Mandate) as well as the conclusions of the ECC meeting in June 2010 in Baden/Switzerland.</w:t>
            </w:r>
          </w:p>
          <w:p w:rsidR="00D303E7" w:rsidRDefault="00D303E7" w:rsidP="008F0D75">
            <w:pPr>
              <w:rPr>
                <w:rFonts w:ascii="Arial" w:hAnsi="Arial" w:cs="Arial"/>
                <w:sz w:val="22"/>
                <w:szCs w:val="22"/>
              </w:rPr>
            </w:pPr>
          </w:p>
          <w:p w:rsidR="00D303E7" w:rsidRDefault="00D303E7" w:rsidP="008F0D75">
            <w:pPr>
              <w:rPr>
                <w:rFonts w:ascii="Arial" w:hAnsi="Arial" w:cs="Arial"/>
                <w:sz w:val="22"/>
                <w:szCs w:val="22"/>
              </w:rPr>
            </w:pPr>
            <w:r>
              <w:rPr>
                <w:rFonts w:ascii="Arial" w:hAnsi="Arial" w:cs="Arial"/>
                <w:sz w:val="22"/>
                <w:szCs w:val="22"/>
              </w:rPr>
              <w:t>The new Decision was adopted at RSC#36 meeting on 6 July 2011 and published in the OJ of the EU on 30 July 2011; no member state voted against the adoption or abstained during the oral procedure at RSC#36.</w:t>
            </w:r>
          </w:p>
          <w:p w:rsidR="00D303E7" w:rsidRDefault="00D303E7" w:rsidP="008F0D75">
            <w:pPr>
              <w:rPr>
                <w:rFonts w:ascii="Arial" w:hAnsi="Arial" w:cs="Arial"/>
                <w:sz w:val="22"/>
                <w:szCs w:val="22"/>
              </w:rPr>
            </w:pPr>
          </w:p>
          <w:p w:rsidR="00D303E7" w:rsidRDefault="00D303E7" w:rsidP="008F0D75">
            <w:pPr>
              <w:rPr>
                <w:rFonts w:ascii="Arial" w:hAnsi="Arial" w:cs="Arial"/>
                <w:sz w:val="22"/>
                <w:szCs w:val="22"/>
              </w:rPr>
            </w:pPr>
            <w:r>
              <w:rPr>
                <w:rFonts w:ascii="Arial" w:hAnsi="Arial" w:cs="Arial"/>
                <w:sz w:val="22"/>
                <w:szCs w:val="22"/>
              </w:rPr>
              <w:t>The major changes, resulting from the new EC Decision, can be summarised as follows:</w:t>
            </w:r>
          </w:p>
          <w:p w:rsidR="00D303E7" w:rsidRPr="00441700" w:rsidRDefault="00D303E7" w:rsidP="00441700">
            <w:pPr>
              <w:pStyle w:val="ListParagraph"/>
              <w:numPr>
                <w:ilvl w:val="0"/>
                <w:numId w:val="6"/>
              </w:numPr>
              <w:rPr>
                <w:rFonts w:ascii="Arial" w:hAnsi="Arial" w:cs="Arial"/>
                <w:b/>
                <w:sz w:val="22"/>
                <w:szCs w:val="22"/>
              </w:rPr>
            </w:pPr>
            <w:r w:rsidRPr="00441700">
              <w:rPr>
                <w:rFonts w:ascii="Arial" w:hAnsi="Arial" w:cs="Arial"/>
                <w:b/>
                <w:sz w:val="22"/>
                <w:szCs w:val="22"/>
              </w:rPr>
              <w:t>The bandwidth will be reduced to 24.25 - 26.65 GHz (from 21.65 - 26.65 GHz);</w:t>
            </w:r>
          </w:p>
          <w:p w:rsidR="00D303E7" w:rsidRPr="00441700" w:rsidRDefault="00D303E7" w:rsidP="00441700">
            <w:pPr>
              <w:pStyle w:val="ListParagraph"/>
              <w:numPr>
                <w:ilvl w:val="0"/>
                <w:numId w:val="6"/>
              </w:numPr>
              <w:rPr>
                <w:rFonts w:ascii="Arial" w:hAnsi="Arial" w:cs="Arial"/>
                <w:b/>
                <w:sz w:val="22"/>
                <w:szCs w:val="22"/>
              </w:rPr>
            </w:pPr>
            <w:r>
              <w:rPr>
                <w:rFonts w:ascii="Arial" w:hAnsi="Arial" w:cs="Arial"/>
                <w:b/>
                <w:sz w:val="22"/>
                <w:szCs w:val="22"/>
              </w:rPr>
              <w:t>the deadline (reference date) for placing on</w:t>
            </w:r>
            <w:r w:rsidRPr="00441700">
              <w:rPr>
                <w:rFonts w:ascii="Arial" w:hAnsi="Arial" w:cs="Arial"/>
                <w:b/>
                <w:sz w:val="22"/>
                <w:szCs w:val="22"/>
              </w:rPr>
              <w:t xml:space="preserve"> the market of the radar sensors will be 1</w:t>
            </w:r>
            <w:r>
              <w:rPr>
                <w:rFonts w:ascii="Arial" w:hAnsi="Arial" w:cs="Arial"/>
                <w:b/>
                <w:sz w:val="22"/>
                <w:szCs w:val="22"/>
              </w:rPr>
              <w:t> January 2018 (or 1 </w:t>
            </w:r>
            <w:r w:rsidRPr="00441700">
              <w:rPr>
                <w:rFonts w:ascii="Arial" w:hAnsi="Arial" w:cs="Arial"/>
                <w:b/>
                <w:sz w:val="22"/>
                <w:szCs w:val="22"/>
              </w:rPr>
              <w:t>January 2022);</w:t>
            </w:r>
          </w:p>
          <w:p w:rsidR="00D303E7" w:rsidRDefault="00D303E7" w:rsidP="00441700">
            <w:pPr>
              <w:rPr>
                <w:rFonts w:ascii="Arial" w:hAnsi="Arial" w:cs="Arial"/>
                <w:sz w:val="22"/>
                <w:szCs w:val="22"/>
              </w:rPr>
            </w:pPr>
            <w:r>
              <w:rPr>
                <w:rFonts w:ascii="Arial" w:hAnsi="Arial" w:cs="Arial"/>
                <w:sz w:val="22"/>
                <w:szCs w:val="22"/>
              </w:rPr>
              <w:t>the relevant details are provided in Annex 2.</w:t>
            </w:r>
          </w:p>
          <w:p w:rsidR="00D303E7" w:rsidRDefault="00D303E7" w:rsidP="00441700">
            <w:pPr>
              <w:rPr>
                <w:rFonts w:ascii="Arial" w:hAnsi="Arial" w:cs="Arial"/>
                <w:sz w:val="22"/>
                <w:szCs w:val="22"/>
              </w:rPr>
            </w:pPr>
          </w:p>
          <w:p w:rsidR="00D303E7" w:rsidRDefault="00D303E7" w:rsidP="00441700">
            <w:pPr>
              <w:rPr>
                <w:rFonts w:ascii="Arial" w:hAnsi="Arial" w:cs="Arial"/>
                <w:sz w:val="22"/>
                <w:szCs w:val="22"/>
              </w:rPr>
            </w:pPr>
            <w:r>
              <w:rPr>
                <w:rFonts w:ascii="Arial" w:hAnsi="Arial" w:cs="Arial"/>
                <w:sz w:val="22"/>
                <w:szCs w:val="22"/>
              </w:rPr>
              <w:t>The conclusions, coming from ECC#29 meeting (20 -24 June 2011), are as follows:</w:t>
            </w:r>
          </w:p>
          <w:p w:rsidR="00D303E7" w:rsidRPr="000B2DCA" w:rsidRDefault="00D303E7" w:rsidP="000B2DCA">
            <w:pPr>
              <w:pStyle w:val="ListParagraph"/>
              <w:numPr>
                <w:ilvl w:val="0"/>
                <w:numId w:val="6"/>
              </w:numPr>
              <w:rPr>
                <w:rFonts w:ascii="Arial" w:hAnsi="Arial" w:cs="Arial"/>
                <w:b/>
                <w:sz w:val="22"/>
                <w:szCs w:val="22"/>
              </w:rPr>
            </w:pPr>
            <w:r w:rsidRPr="000B2DCA">
              <w:rPr>
                <w:rFonts w:ascii="Arial" w:hAnsi="Arial" w:cs="Arial"/>
                <w:b/>
                <w:sz w:val="22"/>
                <w:szCs w:val="22"/>
              </w:rPr>
              <w:t>The maximum emitted power for the out-of</w:t>
            </w:r>
            <w:r>
              <w:rPr>
                <w:rFonts w:ascii="Arial" w:hAnsi="Arial" w:cs="Arial"/>
                <w:b/>
                <w:sz w:val="22"/>
                <w:szCs w:val="22"/>
              </w:rPr>
              <w:t>-band emission in the band 23.6 </w:t>
            </w:r>
            <w:r w:rsidRPr="000B2DCA">
              <w:rPr>
                <w:rFonts w:ascii="Arial" w:hAnsi="Arial" w:cs="Arial"/>
                <w:b/>
                <w:sz w:val="22"/>
                <w:szCs w:val="22"/>
              </w:rPr>
              <w:t>GHz to 24</w:t>
            </w:r>
            <w:r>
              <w:rPr>
                <w:rFonts w:ascii="Arial" w:hAnsi="Arial" w:cs="Arial"/>
                <w:b/>
                <w:sz w:val="22"/>
                <w:szCs w:val="22"/>
              </w:rPr>
              <w:t> </w:t>
            </w:r>
            <w:r w:rsidRPr="000B2DCA">
              <w:rPr>
                <w:rFonts w:ascii="Arial" w:hAnsi="Arial" w:cs="Arial"/>
                <w:b/>
                <w:sz w:val="22"/>
                <w:szCs w:val="22"/>
              </w:rPr>
              <w:t>GHz sh</w:t>
            </w:r>
            <w:r>
              <w:rPr>
                <w:rFonts w:ascii="Arial" w:hAnsi="Arial" w:cs="Arial"/>
                <w:b/>
                <w:sz w:val="22"/>
                <w:szCs w:val="22"/>
              </w:rPr>
              <w:t>all not exceed -74 </w:t>
            </w:r>
            <w:r w:rsidRPr="000B2DCA">
              <w:rPr>
                <w:rFonts w:ascii="Arial" w:hAnsi="Arial" w:cs="Arial"/>
                <w:b/>
                <w:sz w:val="22"/>
                <w:szCs w:val="22"/>
              </w:rPr>
              <w:t>dBm/MHz e.i.r.p.</w:t>
            </w:r>
            <w:r>
              <w:rPr>
                <w:rFonts w:ascii="Arial" w:hAnsi="Arial" w:cs="Arial"/>
                <w:b/>
                <w:sz w:val="22"/>
                <w:szCs w:val="22"/>
              </w:rPr>
              <w:t>;</w:t>
            </w:r>
          </w:p>
          <w:p w:rsidR="00D303E7" w:rsidRPr="000B2DCA" w:rsidRDefault="00D303E7" w:rsidP="000B2DCA">
            <w:pPr>
              <w:pStyle w:val="ListParagraph"/>
              <w:numPr>
                <w:ilvl w:val="0"/>
                <w:numId w:val="6"/>
              </w:numPr>
              <w:rPr>
                <w:rFonts w:ascii="Arial" w:hAnsi="Arial" w:cs="Arial"/>
                <w:b/>
                <w:sz w:val="22"/>
                <w:szCs w:val="22"/>
              </w:rPr>
            </w:pPr>
            <w:r w:rsidRPr="000B2DCA">
              <w:rPr>
                <w:rFonts w:ascii="Arial" w:hAnsi="Arial" w:cs="Arial"/>
                <w:b/>
                <w:sz w:val="22"/>
                <w:szCs w:val="22"/>
              </w:rPr>
              <w:t>Any emissions within the 23.6 GHz to 24 GHz band that appear 30° or greater above the horizontal plane shall be kept to a minimum considering typical antenna elevation pattern as depicted</w:t>
            </w:r>
            <w:r>
              <w:rPr>
                <w:rFonts w:ascii="Arial" w:hAnsi="Arial" w:cs="Arial"/>
                <w:b/>
                <w:sz w:val="22"/>
                <w:szCs w:val="22"/>
              </w:rPr>
              <w:t xml:space="preserve"> </w:t>
            </w:r>
            <w:r w:rsidRPr="000B2DCA">
              <w:rPr>
                <w:rFonts w:ascii="Arial" w:hAnsi="Arial" w:cs="Arial"/>
                <w:b/>
                <w:sz w:val="22"/>
                <w:szCs w:val="22"/>
              </w:rPr>
              <w:t>in Fig. 15 of ECC Report 158 to be included in an informative annex of EN 302 288.1 V1.5.1</w:t>
            </w:r>
            <w:r>
              <w:rPr>
                <w:rFonts w:ascii="Arial" w:hAnsi="Arial" w:cs="Arial"/>
                <w:b/>
                <w:sz w:val="22"/>
                <w:szCs w:val="22"/>
              </w:rPr>
              <w:t>;</w:t>
            </w:r>
          </w:p>
          <w:p w:rsidR="00D303E7" w:rsidRDefault="00D303E7" w:rsidP="00441700">
            <w:pPr>
              <w:rPr>
                <w:rFonts w:ascii="Arial" w:hAnsi="Arial" w:cs="Arial"/>
                <w:sz w:val="22"/>
                <w:szCs w:val="22"/>
              </w:rPr>
            </w:pPr>
            <w:r>
              <w:rPr>
                <w:rFonts w:ascii="Arial" w:hAnsi="Arial" w:cs="Arial"/>
                <w:sz w:val="22"/>
                <w:szCs w:val="22"/>
              </w:rPr>
              <w:t>the relevant details are provided in Annex 3.</w:t>
            </w:r>
          </w:p>
          <w:p w:rsidR="00D303E7" w:rsidRPr="00441700" w:rsidRDefault="00D303E7" w:rsidP="00441700">
            <w:pPr>
              <w:rPr>
                <w:rFonts w:ascii="Arial" w:hAnsi="Arial" w:cs="Arial"/>
                <w:sz w:val="22"/>
                <w:szCs w:val="22"/>
              </w:rPr>
            </w:pPr>
          </w:p>
          <w:p w:rsidR="00D303E7" w:rsidRPr="00CB3476" w:rsidRDefault="00D303E7" w:rsidP="00321049">
            <w:pPr>
              <w:rPr>
                <w:rFonts w:ascii="Arial" w:hAnsi="Arial" w:cs="Arial"/>
                <w:sz w:val="24"/>
                <w:szCs w:val="24"/>
              </w:rPr>
            </w:pPr>
          </w:p>
        </w:tc>
      </w:tr>
    </w:tbl>
    <w:p w:rsidR="00D303E7" w:rsidRDefault="00D303E7" w:rsidP="00911813">
      <w:pPr>
        <w:ind w:left="-567"/>
        <w:rPr>
          <w:rFonts w:ascii="Arial" w:hAnsi="Arial" w:cs="Arial"/>
          <w:sz w:val="22"/>
          <w:szCs w:val="22"/>
        </w:rPr>
      </w:pPr>
    </w:p>
    <w:p w:rsidR="00D303E7" w:rsidRDefault="00D303E7" w:rsidP="00911813">
      <w:pPr>
        <w:ind w:left="-567"/>
        <w:rPr>
          <w:rFonts w:ascii="Arial" w:hAnsi="Arial" w:cs="Arial"/>
          <w:sz w:val="22"/>
          <w:szCs w:val="22"/>
        </w:rPr>
      </w:pPr>
    </w:p>
    <w:p w:rsidR="00D303E7" w:rsidRPr="003B7396" w:rsidRDefault="00D303E7" w:rsidP="00911813">
      <w:pPr>
        <w:ind w:left="-567"/>
        <w:rPr>
          <w:rFonts w:ascii="Arial" w:hAnsi="Arial" w:cs="Arial"/>
          <w:b/>
          <w:sz w:val="22"/>
          <w:szCs w:val="22"/>
        </w:rPr>
      </w:pPr>
      <w:r w:rsidRPr="003B7396">
        <w:rPr>
          <w:rFonts w:ascii="Arial" w:hAnsi="Arial" w:cs="Arial"/>
          <w:b/>
          <w:sz w:val="22"/>
          <w:szCs w:val="22"/>
        </w:rPr>
        <w:t>Annexes</w:t>
      </w:r>
    </w:p>
    <w:p w:rsidR="00D303E7" w:rsidRDefault="00D303E7" w:rsidP="00911813">
      <w:pPr>
        <w:ind w:left="-567"/>
        <w:rPr>
          <w:rFonts w:ascii="Arial" w:hAnsi="Arial" w:cs="Arial"/>
          <w:sz w:val="22"/>
          <w:szCs w:val="22"/>
        </w:rPr>
      </w:pPr>
    </w:p>
    <w:p w:rsidR="00D303E7" w:rsidRDefault="00D303E7" w:rsidP="00911813">
      <w:pPr>
        <w:ind w:left="-567"/>
        <w:rPr>
          <w:rFonts w:ascii="Arial" w:hAnsi="Arial" w:cs="Arial"/>
          <w:sz w:val="22"/>
          <w:szCs w:val="22"/>
        </w:rPr>
      </w:pPr>
      <w:r w:rsidRPr="0068698B">
        <w:rPr>
          <w:rFonts w:ascii="Arial" w:hAnsi="Arial" w:cs="Arial"/>
          <w:sz w:val="22"/>
          <w:szCs w:val="22"/>
          <w:u w:val="single"/>
        </w:rPr>
        <w:t>Annex</w:t>
      </w:r>
      <w:r>
        <w:rPr>
          <w:rFonts w:ascii="Arial" w:hAnsi="Arial" w:cs="Arial"/>
          <w:sz w:val="22"/>
          <w:szCs w:val="22"/>
          <w:u w:val="single"/>
        </w:rPr>
        <w:t xml:space="preserve"> 1</w:t>
      </w:r>
      <w:r w:rsidRPr="0068698B">
        <w:rPr>
          <w:rFonts w:ascii="Arial" w:hAnsi="Arial" w:cs="Arial"/>
          <w:sz w:val="22"/>
          <w:szCs w:val="22"/>
          <w:u w:val="single"/>
        </w:rPr>
        <w:t>:</w:t>
      </w:r>
      <w:r>
        <w:rPr>
          <w:rFonts w:ascii="Arial" w:hAnsi="Arial" w:cs="Arial"/>
          <w:sz w:val="22"/>
          <w:szCs w:val="22"/>
        </w:rPr>
        <w:tab/>
        <w:t>Proposed draft amended ECC Decision (04)10 on SRR at 24 GHz</w:t>
      </w:r>
    </w:p>
    <w:p w:rsidR="00D303E7" w:rsidRDefault="00D303E7" w:rsidP="00911813">
      <w:pPr>
        <w:ind w:left="-567"/>
        <w:rPr>
          <w:rFonts w:ascii="Arial" w:hAnsi="Arial" w:cs="Arial"/>
          <w:sz w:val="22"/>
          <w:szCs w:val="22"/>
        </w:rPr>
      </w:pPr>
    </w:p>
    <w:p w:rsidR="00D303E7" w:rsidRDefault="00D303E7" w:rsidP="0096691A">
      <w:pPr>
        <w:ind w:left="709" w:hanging="1276"/>
        <w:rPr>
          <w:rFonts w:ascii="Arial" w:hAnsi="Arial" w:cs="Arial"/>
          <w:sz w:val="22"/>
          <w:szCs w:val="22"/>
        </w:rPr>
      </w:pPr>
      <w:r w:rsidRPr="0096691A">
        <w:rPr>
          <w:rFonts w:ascii="Arial" w:hAnsi="Arial" w:cs="Arial"/>
          <w:sz w:val="22"/>
          <w:szCs w:val="22"/>
          <w:u w:val="single"/>
        </w:rPr>
        <w:t>Annex 2:</w:t>
      </w:r>
      <w:r>
        <w:rPr>
          <w:rFonts w:ascii="Arial" w:hAnsi="Arial" w:cs="Arial"/>
          <w:sz w:val="22"/>
          <w:szCs w:val="22"/>
        </w:rPr>
        <w:tab/>
        <w:t>Commission Implementing Decision 2011/485/EU of 29 July 2011 on the amendment of EC Decision 2005/50/EC</w:t>
      </w:r>
      <w:bookmarkStart w:id="0" w:name="_GoBack"/>
      <w:bookmarkEnd w:id="0"/>
    </w:p>
    <w:p w:rsidR="00D303E7" w:rsidRDefault="00D303E7" w:rsidP="0096691A">
      <w:pPr>
        <w:ind w:left="709" w:hanging="1276"/>
        <w:rPr>
          <w:rFonts w:ascii="Arial" w:hAnsi="Arial" w:cs="Arial"/>
          <w:sz w:val="22"/>
          <w:szCs w:val="22"/>
        </w:rPr>
      </w:pPr>
    </w:p>
    <w:p w:rsidR="00D303E7" w:rsidRDefault="00D303E7" w:rsidP="0096691A">
      <w:pPr>
        <w:ind w:left="709" w:hanging="1276"/>
        <w:rPr>
          <w:rFonts w:ascii="Arial" w:hAnsi="Arial" w:cs="Arial"/>
          <w:sz w:val="22"/>
          <w:szCs w:val="22"/>
        </w:rPr>
      </w:pPr>
      <w:r w:rsidRPr="0096691A">
        <w:rPr>
          <w:rFonts w:ascii="Arial" w:hAnsi="Arial" w:cs="Arial"/>
          <w:sz w:val="22"/>
          <w:szCs w:val="22"/>
          <w:u w:val="single"/>
        </w:rPr>
        <w:t>Annex 3:</w:t>
      </w:r>
      <w:r>
        <w:rPr>
          <w:rFonts w:ascii="Arial" w:hAnsi="Arial" w:cs="Arial"/>
          <w:sz w:val="22"/>
          <w:szCs w:val="22"/>
        </w:rPr>
        <w:tab/>
        <w:t>Liaison Statement from ECC to ETSI TC ERM (22 June 2011) on the protection requirements for passive services within 23.6 - 24.0 GHz</w:t>
      </w:r>
    </w:p>
    <w:p w:rsidR="00D303E7" w:rsidRDefault="00D303E7" w:rsidP="00911813">
      <w:pPr>
        <w:ind w:left="-567"/>
        <w:rPr>
          <w:rFonts w:ascii="Arial" w:hAnsi="Arial" w:cs="Arial"/>
          <w:sz w:val="22"/>
          <w:szCs w:val="22"/>
        </w:rPr>
      </w:pPr>
    </w:p>
    <w:sectPr w:rsidR="00D303E7" w:rsidSect="00582118">
      <w:footnotePr>
        <w:numFmt w:val="chicago"/>
      </w:footnotePr>
      <w:pgSz w:w="11906" w:h="16838"/>
      <w:pgMar w:top="851" w:right="1797" w:bottom="851" w:left="179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3E7" w:rsidRDefault="00D303E7">
      <w:r>
        <w:separator/>
      </w:r>
    </w:p>
  </w:endnote>
  <w:endnote w:type="continuationSeparator" w:id="0">
    <w:p w:rsidR="00D303E7" w:rsidRDefault="00D303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altName w:val="Verdana"/>
    <w:panose1 w:val="020B0604030504040204"/>
    <w:charset w:val="00"/>
    <w:family w:val="swiss"/>
    <w:pitch w:val="variable"/>
    <w:sig w:usb0="20000287" w:usb1="00000000" w:usb2="00000000" w:usb3="00000000" w:csb0="0000019F" w:csb1="00000000"/>
  </w:font>
  <w:font w:name="SimSun">
    <w:altName w:val="??¨¬?"/>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3E7" w:rsidRDefault="00D303E7">
      <w:r>
        <w:separator/>
      </w:r>
    </w:p>
  </w:footnote>
  <w:footnote w:type="continuationSeparator" w:id="0">
    <w:p w:rsidR="00D303E7" w:rsidRDefault="00D303E7">
      <w:r>
        <w:continuationSeparator/>
      </w:r>
    </w:p>
  </w:footnote>
  <w:footnote w:id="1">
    <w:p w:rsidR="00D303E7" w:rsidRDefault="00D303E7">
      <w:pPr>
        <w:pStyle w:val="FootnoteText"/>
      </w:pPr>
      <w:r w:rsidRPr="002D7C05">
        <w:rPr>
          <w:rStyle w:val="FootnoteReference"/>
          <w:rFonts w:ascii="Arial" w:hAnsi="Arial" w:cs="Arial"/>
        </w:rPr>
        <w:footnoteRef/>
      </w:r>
      <w:r w:rsidRPr="002D7C05">
        <w:rPr>
          <w:rFonts w:ascii="Arial" w:hAnsi="Arial" w:cs="Arial"/>
        </w:rPr>
        <w:t xml:space="preserve"> ECC policy is that in general all documents should be publicly available unless the author of the document requires that it be restricted to ECC family participants only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96F39"/>
    <w:multiLevelType w:val="hybridMultilevel"/>
    <w:tmpl w:val="7A6AA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AEA59E4"/>
    <w:multiLevelType w:val="hybridMultilevel"/>
    <w:tmpl w:val="B2642A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9755ED3"/>
    <w:multiLevelType w:val="hybridMultilevel"/>
    <w:tmpl w:val="67F0C2F2"/>
    <w:lvl w:ilvl="0" w:tplc="5CB4FA68">
      <w:start w:val="1"/>
      <w:numFmt w:val="decimal"/>
      <w:pStyle w:val="bodyChar"/>
      <w:lvlText w:val="(%1)"/>
      <w:lvlJc w:val="left"/>
      <w:pPr>
        <w:tabs>
          <w:tab w:val="num" w:pos="900"/>
        </w:tabs>
        <w:ind w:left="1620" w:hanging="72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6C683978">
      <w:start w:val="1"/>
      <w:numFmt w:val="lowerLetter"/>
      <w:pStyle w:val="bodyCharCharCharChar"/>
      <w:lvlText w:val="(%2)"/>
      <w:lvlJc w:val="left"/>
      <w:pPr>
        <w:tabs>
          <w:tab w:val="num" w:pos="1080"/>
        </w:tabs>
        <w:ind w:left="1800" w:hanging="72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tplc="04090005">
      <w:start w:val="1"/>
      <w:numFmt w:val="lowerRoman"/>
      <w:lvlText w:val="%3."/>
      <w:lvlJc w:val="right"/>
      <w:pPr>
        <w:tabs>
          <w:tab w:val="num" w:pos="2160"/>
        </w:tabs>
        <w:ind w:left="2160" w:hanging="180"/>
      </w:pPr>
      <w:rPr>
        <w:rFonts w:cs="Times New Roman"/>
      </w:rPr>
    </w:lvl>
    <w:lvl w:ilvl="3" w:tplc="AFCC9BBC">
      <w:numFmt w:val="bullet"/>
      <w:lvlText w:val="-"/>
      <w:lvlJc w:val="left"/>
      <w:pPr>
        <w:tabs>
          <w:tab w:val="num" w:pos="2880"/>
        </w:tabs>
        <w:ind w:left="2880" w:hanging="360"/>
      </w:pPr>
      <w:rPr>
        <w:rFonts w:ascii="Arial" w:eastAsia="Times New Roman" w:hAnsi="Arial"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nsid w:val="518D43EF"/>
    <w:multiLevelType w:val="hybridMultilevel"/>
    <w:tmpl w:val="C7CA4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1B6555C"/>
    <w:multiLevelType w:val="singleLevel"/>
    <w:tmpl w:val="0E4854C4"/>
    <w:lvl w:ilvl="0">
      <w:start w:val="1"/>
      <w:numFmt w:val="decimal"/>
      <w:lvlText w:val="%1."/>
      <w:legacy w:legacy="1" w:legacySpace="120" w:legacyIndent="360"/>
      <w:lvlJc w:val="left"/>
      <w:pPr>
        <w:ind w:left="360" w:hanging="360"/>
      </w:pPr>
      <w:rPr>
        <w:rFonts w:cs="Times New Roman"/>
      </w:rPr>
    </w:lvl>
  </w:abstractNum>
  <w:abstractNum w:abstractNumId="6">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066DF6"/>
    <w:multiLevelType w:val="hybridMultilevel"/>
    <w:tmpl w:val="FF7601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3"/>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stylePaneFormatFilter w:val="3F01"/>
  <w:defaultTabStop w:val="720"/>
  <w:drawingGridHorizontalSpacing w:val="100"/>
  <w:displayHorizontalDrawingGridEvery w:val="2"/>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5228"/>
    <w:rsid w:val="00011374"/>
    <w:rsid w:val="00014423"/>
    <w:rsid w:val="0003633D"/>
    <w:rsid w:val="00061345"/>
    <w:rsid w:val="000818BB"/>
    <w:rsid w:val="000A4D12"/>
    <w:rsid w:val="000B2DCA"/>
    <w:rsid w:val="000D4147"/>
    <w:rsid w:val="000F1530"/>
    <w:rsid w:val="001237AC"/>
    <w:rsid w:val="00150EEE"/>
    <w:rsid w:val="0019722E"/>
    <w:rsid w:val="001F4097"/>
    <w:rsid w:val="002055CD"/>
    <w:rsid w:val="00205D12"/>
    <w:rsid w:val="002549A2"/>
    <w:rsid w:val="002A579C"/>
    <w:rsid w:val="002B5CA0"/>
    <w:rsid w:val="002B6D12"/>
    <w:rsid w:val="002D7C05"/>
    <w:rsid w:val="00317836"/>
    <w:rsid w:val="00321049"/>
    <w:rsid w:val="003B7396"/>
    <w:rsid w:val="003F208B"/>
    <w:rsid w:val="00424A95"/>
    <w:rsid w:val="00441700"/>
    <w:rsid w:val="00467D04"/>
    <w:rsid w:val="00491C74"/>
    <w:rsid w:val="004A1D4A"/>
    <w:rsid w:val="004A341D"/>
    <w:rsid w:val="004C43DC"/>
    <w:rsid w:val="004D1937"/>
    <w:rsid w:val="004E0D69"/>
    <w:rsid w:val="005131B2"/>
    <w:rsid w:val="005413C2"/>
    <w:rsid w:val="00551E8F"/>
    <w:rsid w:val="00553188"/>
    <w:rsid w:val="005720F7"/>
    <w:rsid w:val="00582118"/>
    <w:rsid w:val="005A1968"/>
    <w:rsid w:val="005C1416"/>
    <w:rsid w:val="005D3B6C"/>
    <w:rsid w:val="00604200"/>
    <w:rsid w:val="006056C6"/>
    <w:rsid w:val="00635A14"/>
    <w:rsid w:val="00677130"/>
    <w:rsid w:val="006778AE"/>
    <w:rsid w:val="0068698B"/>
    <w:rsid w:val="006C5AE8"/>
    <w:rsid w:val="006F1BC8"/>
    <w:rsid w:val="006F20DA"/>
    <w:rsid w:val="0070326D"/>
    <w:rsid w:val="00707665"/>
    <w:rsid w:val="00713C99"/>
    <w:rsid w:val="00744E0F"/>
    <w:rsid w:val="00745228"/>
    <w:rsid w:val="00746570"/>
    <w:rsid w:val="007E151D"/>
    <w:rsid w:val="007F0F43"/>
    <w:rsid w:val="008032A1"/>
    <w:rsid w:val="008054DA"/>
    <w:rsid w:val="0085336B"/>
    <w:rsid w:val="00864766"/>
    <w:rsid w:val="00874E34"/>
    <w:rsid w:val="008B7772"/>
    <w:rsid w:val="008D6097"/>
    <w:rsid w:val="008F0D75"/>
    <w:rsid w:val="00904B18"/>
    <w:rsid w:val="00905096"/>
    <w:rsid w:val="00911813"/>
    <w:rsid w:val="0092472D"/>
    <w:rsid w:val="00941555"/>
    <w:rsid w:val="00944924"/>
    <w:rsid w:val="009463B1"/>
    <w:rsid w:val="00951FBD"/>
    <w:rsid w:val="00963D8D"/>
    <w:rsid w:val="0096691A"/>
    <w:rsid w:val="00970B11"/>
    <w:rsid w:val="009A0FAE"/>
    <w:rsid w:val="009A558A"/>
    <w:rsid w:val="009A7215"/>
    <w:rsid w:val="009D13D4"/>
    <w:rsid w:val="00A3369E"/>
    <w:rsid w:val="00A46AEF"/>
    <w:rsid w:val="00A73F12"/>
    <w:rsid w:val="00A969FD"/>
    <w:rsid w:val="00AC25FE"/>
    <w:rsid w:val="00AE264C"/>
    <w:rsid w:val="00AF46BF"/>
    <w:rsid w:val="00B13A3C"/>
    <w:rsid w:val="00B429B6"/>
    <w:rsid w:val="00B84848"/>
    <w:rsid w:val="00B94107"/>
    <w:rsid w:val="00BD5B81"/>
    <w:rsid w:val="00BE0ECE"/>
    <w:rsid w:val="00C006D7"/>
    <w:rsid w:val="00C70D12"/>
    <w:rsid w:val="00CB3476"/>
    <w:rsid w:val="00CC0230"/>
    <w:rsid w:val="00D20D79"/>
    <w:rsid w:val="00D25E41"/>
    <w:rsid w:val="00D303E7"/>
    <w:rsid w:val="00D90D5C"/>
    <w:rsid w:val="00D94C85"/>
    <w:rsid w:val="00DA3073"/>
    <w:rsid w:val="00DB5FAA"/>
    <w:rsid w:val="00DD1AB9"/>
    <w:rsid w:val="00DD71D0"/>
    <w:rsid w:val="00E8002A"/>
    <w:rsid w:val="00E92805"/>
    <w:rsid w:val="00EA0185"/>
    <w:rsid w:val="00ED1D6F"/>
    <w:rsid w:val="00F42067"/>
    <w:rsid w:val="00F55356"/>
    <w:rsid w:val="00F75D27"/>
    <w:rsid w:val="00F815A6"/>
    <w:rsid w:val="00FA535A"/>
    <w:rsid w:val="00FB5CD3"/>
    <w:rsid w:val="00FB6691"/>
    <w:rsid w:val="00FC79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772"/>
    <w:rPr>
      <w:sz w:val="20"/>
      <w:szCs w:val="20"/>
      <w:lang w:val="en-GB" w:eastAsia="de-DE"/>
    </w:rPr>
  </w:style>
  <w:style w:type="paragraph" w:styleId="Heading2">
    <w:name w:val="heading 2"/>
    <w:basedOn w:val="Normal"/>
    <w:next w:val="Normal"/>
    <w:link w:val="Heading2Char"/>
    <w:uiPriority w:val="99"/>
    <w:qFormat/>
    <w:rsid w:val="005A1968"/>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8B7772"/>
    <w:pPr>
      <w:keepNext/>
      <w:jc w:val="right"/>
      <w:outlineLvl w:val="2"/>
    </w:pPr>
    <w:rPr>
      <w:rFonts w:ascii="Arial" w:hAnsi="Arial"/>
      <w:b/>
      <w:sz w:val="24"/>
    </w:rPr>
  </w:style>
  <w:style w:type="paragraph" w:styleId="Heading4">
    <w:name w:val="heading 4"/>
    <w:basedOn w:val="Normal"/>
    <w:next w:val="Normal"/>
    <w:link w:val="Heading4Char"/>
    <w:uiPriority w:val="99"/>
    <w:qFormat/>
    <w:rsid w:val="008B7772"/>
    <w:pPr>
      <w:keepNext/>
      <w:outlineLvl w:val="3"/>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5A1968"/>
    <w:rPr>
      <w:rFonts w:ascii="Cambria" w:hAnsi="Cambria" w:cs="Times New Roman"/>
      <w:b/>
      <w:bCs/>
      <w:color w:val="4F81BD"/>
      <w:sz w:val="26"/>
      <w:szCs w:val="26"/>
      <w:lang w:eastAsia="de-DE"/>
    </w:rPr>
  </w:style>
  <w:style w:type="character" w:customStyle="1" w:styleId="Heading3Char">
    <w:name w:val="Heading 3 Char"/>
    <w:basedOn w:val="DefaultParagraphFont"/>
    <w:link w:val="Heading3"/>
    <w:uiPriority w:val="9"/>
    <w:semiHidden/>
    <w:rsid w:val="009E7F77"/>
    <w:rPr>
      <w:rFonts w:asciiTheme="majorHAnsi" w:eastAsiaTheme="majorEastAsia" w:hAnsiTheme="majorHAnsi" w:cstheme="majorBidi"/>
      <w:b/>
      <w:bCs/>
      <w:sz w:val="26"/>
      <w:szCs w:val="26"/>
      <w:lang w:val="en-GB" w:eastAsia="de-DE"/>
    </w:rPr>
  </w:style>
  <w:style w:type="character" w:customStyle="1" w:styleId="Heading4Char">
    <w:name w:val="Heading 4 Char"/>
    <w:basedOn w:val="DefaultParagraphFont"/>
    <w:link w:val="Heading4"/>
    <w:uiPriority w:val="9"/>
    <w:semiHidden/>
    <w:rsid w:val="009E7F77"/>
    <w:rPr>
      <w:rFonts w:asciiTheme="minorHAnsi" w:eastAsiaTheme="minorEastAsia" w:hAnsiTheme="minorHAnsi" w:cstheme="minorBidi"/>
      <w:b/>
      <w:bCs/>
      <w:sz w:val="28"/>
      <w:szCs w:val="28"/>
      <w:lang w:val="en-GB" w:eastAsia="de-DE"/>
    </w:rPr>
  </w:style>
  <w:style w:type="paragraph" w:styleId="BalloonText">
    <w:name w:val="Balloon Text"/>
    <w:basedOn w:val="Normal"/>
    <w:link w:val="BalloonTextChar"/>
    <w:uiPriority w:val="99"/>
    <w:rsid w:val="00582118"/>
    <w:rPr>
      <w:rFonts w:ascii="Tahoma" w:hAnsi="Tahoma" w:cs="Tahoma"/>
      <w:sz w:val="16"/>
      <w:szCs w:val="16"/>
    </w:rPr>
  </w:style>
  <w:style w:type="character" w:customStyle="1" w:styleId="BalloonTextChar">
    <w:name w:val="Balloon Text Char"/>
    <w:basedOn w:val="DefaultParagraphFont"/>
    <w:link w:val="BalloonText"/>
    <w:uiPriority w:val="99"/>
    <w:locked/>
    <w:rsid w:val="00582118"/>
    <w:rPr>
      <w:rFonts w:ascii="Tahoma" w:hAnsi="Tahoma" w:cs="Tahoma"/>
      <w:sz w:val="16"/>
      <w:szCs w:val="16"/>
      <w:lang w:val="en-GB" w:eastAsia="de-DE"/>
    </w:rPr>
  </w:style>
  <w:style w:type="paragraph" w:styleId="FootnoteText">
    <w:name w:val="footnote text"/>
    <w:basedOn w:val="Normal"/>
    <w:link w:val="FootnoteTextChar"/>
    <w:uiPriority w:val="99"/>
    <w:semiHidden/>
    <w:rsid w:val="008B7772"/>
  </w:style>
  <w:style w:type="character" w:customStyle="1" w:styleId="FootnoteTextChar">
    <w:name w:val="Footnote Text Char"/>
    <w:basedOn w:val="DefaultParagraphFont"/>
    <w:link w:val="FootnoteText"/>
    <w:uiPriority w:val="99"/>
    <w:semiHidden/>
    <w:rsid w:val="009E7F77"/>
    <w:rPr>
      <w:sz w:val="20"/>
      <w:szCs w:val="20"/>
      <w:lang w:val="en-GB" w:eastAsia="de-DE"/>
    </w:rPr>
  </w:style>
  <w:style w:type="paragraph" w:styleId="Header">
    <w:name w:val="header"/>
    <w:basedOn w:val="Normal"/>
    <w:link w:val="HeaderChar"/>
    <w:uiPriority w:val="99"/>
    <w:rsid w:val="008B7772"/>
    <w:pPr>
      <w:tabs>
        <w:tab w:val="center" w:pos="4320"/>
        <w:tab w:val="right" w:pos="8640"/>
      </w:tabs>
    </w:pPr>
    <w:rPr>
      <w:lang w:val="en-US" w:eastAsia="en-GB"/>
    </w:rPr>
  </w:style>
  <w:style w:type="character" w:customStyle="1" w:styleId="HeaderChar">
    <w:name w:val="Header Char"/>
    <w:basedOn w:val="DefaultParagraphFont"/>
    <w:link w:val="Header"/>
    <w:uiPriority w:val="99"/>
    <w:semiHidden/>
    <w:rsid w:val="009E7F77"/>
    <w:rPr>
      <w:sz w:val="20"/>
      <w:szCs w:val="20"/>
      <w:lang w:val="en-GB" w:eastAsia="de-DE"/>
    </w:rPr>
  </w:style>
  <w:style w:type="paragraph" w:styleId="Footer">
    <w:name w:val="footer"/>
    <w:basedOn w:val="Normal"/>
    <w:link w:val="FooterChar"/>
    <w:uiPriority w:val="99"/>
    <w:rsid w:val="008B7772"/>
    <w:pPr>
      <w:tabs>
        <w:tab w:val="center" w:pos="4153"/>
        <w:tab w:val="right" w:pos="8306"/>
      </w:tabs>
    </w:pPr>
  </w:style>
  <w:style w:type="character" w:customStyle="1" w:styleId="FooterChar">
    <w:name w:val="Footer Char"/>
    <w:basedOn w:val="DefaultParagraphFont"/>
    <w:link w:val="Footer"/>
    <w:uiPriority w:val="99"/>
    <w:locked/>
    <w:rsid w:val="00582118"/>
    <w:rPr>
      <w:rFonts w:cs="Times New Roman"/>
      <w:lang w:val="en-GB" w:eastAsia="de-DE"/>
    </w:rPr>
  </w:style>
  <w:style w:type="paragraph" w:customStyle="1" w:styleId="CharChar">
    <w:name w:val="Char Char"/>
    <w:basedOn w:val="Normal"/>
    <w:uiPriority w:val="99"/>
    <w:rsid w:val="008B7772"/>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Normal"/>
    <w:uiPriority w:val="99"/>
    <w:semiHidden/>
    <w:rsid w:val="008B7772"/>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styleId="FootnoteReference">
    <w:name w:val="footnote reference"/>
    <w:basedOn w:val="DefaultParagraphFont"/>
    <w:uiPriority w:val="99"/>
    <w:rsid w:val="002D7C05"/>
    <w:rPr>
      <w:rFonts w:cs="Times New Roman"/>
      <w:vertAlign w:val="superscript"/>
    </w:rPr>
  </w:style>
  <w:style w:type="character" w:styleId="Hyperlink">
    <w:name w:val="Hyperlink"/>
    <w:basedOn w:val="DefaultParagraphFont"/>
    <w:uiPriority w:val="99"/>
    <w:rsid w:val="00FC793A"/>
    <w:rPr>
      <w:rFonts w:cs="Times New Roman"/>
      <w:color w:val="0000FF"/>
      <w:u w:val="single"/>
    </w:rPr>
  </w:style>
  <w:style w:type="paragraph" w:customStyle="1" w:styleId="bodyCharCharCharChar">
    <w:name w:val="body Char Char Char Char"/>
    <w:basedOn w:val="Normal"/>
    <w:uiPriority w:val="99"/>
    <w:rsid w:val="008F0D75"/>
    <w:pPr>
      <w:numPr>
        <w:ilvl w:val="1"/>
        <w:numId w:val="4"/>
      </w:numPr>
      <w:tabs>
        <w:tab w:val="clear" w:pos="1080"/>
      </w:tabs>
      <w:spacing w:line="360" w:lineRule="auto"/>
      <w:ind w:left="0" w:firstLine="0"/>
      <w:jc w:val="both"/>
    </w:pPr>
    <w:rPr>
      <w:rFonts w:ascii="Arial" w:hAnsi="Arial"/>
      <w:sz w:val="22"/>
      <w:szCs w:val="24"/>
      <w:lang w:val="en-US" w:eastAsia="en-US"/>
    </w:rPr>
  </w:style>
  <w:style w:type="paragraph" w:customStyle="1" w:styleId="bodyChar">
    <w:name w:val="body Char"/>
    <w:basedOn w:val="Normal"/>
    <w:uiPriority w:val="99"/>
    <w:rsid w:val="008F0D75"/>
    <w:pPr>
      <w:numPr>
        <w:numId w:val="4"/>
      </w:numPr>
      <w:spacing w:line="360" w:lineRule="auto"/>
      <w:jc w:val="both"/>
    </w:pPr>
    <w:rPr>
      <w:rFonts w:ascii="Arial" w:hAnsi="Arial"/>
      <w:sz w:val="22"/>
      <w:szCs w:val="24"/>
      <w:lang w:val="en-US" w:eastAsia="en-US"/>
    </w:rPr>
  </w:style>
  <w:style w:type="paragraph" w:styleId="ListParagraph">
    <w:name w:val="List Paragraph"/>
    <w:basedOn w:val="Normal"/>
    <w:uiPriority w:val="99"/>
    <w:qFormat/>
    <w:rsid w:val="005A1968"/>
    <w:pPr>
      <w:ind w:left="720"/>
      <w:contextualSpacing/>
    </w:pPr>
  </w:style>
  <w:style w:type="paragraph" w:customStyle="1" w:styleId="Kopfzeile1">
    <w:name w:val="Kopfzeile1"/>
    <w:basedOn w:val="Normal"/>
    <w:link w:val="HeaderZchnZchn"/>
    <w:uiPriority w:val="99"/>
    <w:rsid w:val="005A1968"/>
    <w:pPr>
      <w:tabs>
        <w:tab w:val="center" w:pos="4536"/>
        <w:tab w:val="right" w:pos="9072"/>
      </w:tabs>
      <w:spacing w:line="264" w:lineRule="auto"/>
    </w:pPr>
    <w:rPr>
      <w:rFonts w:ascii="Arial" w:hAnsi="Arial"/>
      <w:b/>
      <w:color w:val="000000"/>
      <w:sz w:val="22"/>
      <w:lang w:val="en-US"/>
    </w:rPr>
  </w:style>
  <w:style w:type="paragraph" w:customStyle="1" w:styleId="Box">
    <w:name w:val="Box"/>
    <w:basedOn w:val="Normal"/>
    <w:link w:val="BoxZchn1"/>
    <w:uiPriority w:val="99"/>
    <w:rsid w:val="005A1968"/>
    <w:pPr>
      <w:keepLines/>
      <w:pBdr>
        <w:top w:val="single" w:sz="12" w:space="4" w:color="auto"/>
        <w:left w:val="single" w:sz="12" w:space="4" w:color="auto"/>
        <w:bottom w:val="single" w:sz="12" w:space="4" w:color="auto"/>
        <w:right w:val="single" w:sz="12" w:space="4" w:color="auto"/>
      </w:pBdr>
      <w:spacing w:after="100" w:line="264" w:lineRule="auto"/>
      <w:jc w:val="both"/>
    </w:pPr>
    <w:rPr>
      <w:rFonts w:ascii="Arial" w:hAnsi="Arial"/>
      <w:color w:val="000000"/>
      <w:sz w:val="22"/>
      <w:lang w:val="en-US"/>
    </w:rPr>
  </w:style>
  <w:style w:type="character" w:customStyle="1" w:styleId="HeaderZchnZchn">
    <w:name w:val="Header Zchn Zchn"/>
    <w:link w:val="Kopfzeile1"/>
    <w:uiPriority w:val="99"/>
    <w:locked/>
    <w:rsid w:val="005A1968"/>
    <w:rPr>
      <w:rFonts w:ascii="Arial" w:hAnsi="Arial"/>
      <w:b/>
      <w:color w:val="000000"/>
      <w:sz w:val="22"/>
      <w:lang w:eastAsia="de-DE"/>
    </w:rPr>
  </w:style>
  <w:style w:type="character" w:customStyle="1" w:styleId="BoxZchn1">
    <w:name w:val="Box Zchn1"/>
    <w:link w:val="Box"/>
    <w:uiPriority w:val="99"/>
    <w:locked/>
    <w:rsid w:val="005A1968"/>
    <w:rPr>
      <w:rFonts w:ascii="Arial" w:hAnsi="Arial"/>
      <w:color w:val="000000"/>
      <w:sz w:val="22"/>
      <w:lang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630</Words>
  <Characters>3595</Characters>
  <Application>Microsoft Office Outlook</Application>
  <DocSecurity>0</DocSecurity>
  <Lines>0</Lines>
  <Paragraphs>0</Paragraphs>
  <ScaleCrop>false</ScaleCrop>
  <Company>BNetzA Germany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SRD/MG #53, September 2011</dc:title>
  <dc:subject>SRR, 24 GHz</dc:subject>
  <dc:creator>Thomas.Weilacher@BNetzA.de</dc:creator>
  <cp:keywords>Input</cp:keywords>
  <dc:description/>
  <cp:lastModifiedBy>Thomas Weber</cp:lastModifiedBy>
  <cp:revision>2</cp:revision>
  <cp:lastPrinted>2011-08-26T11:26:00Z</cp:lastPrinted>
  <dcterms:created xsi:type="dcterms:W3CDTF">2011-08-26T14:43:00Z</dcterms:created>
  <dcterms:modified xsi:type="dcterms:W3CDTF">2011-08-26T14:43:00Z</dcterms:modified>
  <cp:category>Amendment of ECC DEC (04)10</cp:category>
</cp:coreProperties>
</file>